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1233B" w14:textId="160063C7" w:rsidR="00372276" w:rsidRDefault="00FC29D4" w:rsidP="00372276">
      <w:pPr>
        <w:ind w:right="4"/>
        <w:jc w:val="center"/>
        <w:rPr>
          <w:rFonts w:ascii="Arial" w:hAnsi="Arial" w:cs="Arial"/>
          <w:b/>
          <w:i/>
          <w:color w:val="002060"/>
          <w:spacing w:val="-4"/>
          <w:sz w:val="28"/>
          <w:szCs w:val="28"/>
        </w:rPr>
      </w:pPr>
      <w:r>
        <w:rPr>
          <w:rFonts w:ascii="Arial" w:hAnsi="Arial" w:cs="Arial"/>
          <w:b/>
          <w:i/>
          <w:color w:val="002060"/>
          <w:spacing w:val="-4"/>
          <w:sz w:val="28"/>
          <w:szCs w:val="28"/>
        </w:rPr>
        <w:t>CORE COMPETENCIES:</w:t>
      </w:r>
    </w:p>
    <w:p w14:paraId="36B4D7CF" w14:textId="5D5160EE" w:rsidR="000C50E1" w:rsidRPr="004C7411" w:rsidRDefault="00FC29D4" w:rsidP="00372276">
      <w:pPr>
        <w:ind w:right="4"/>
        <w:jc w:val="center"/>
        <w:rPr>
          <w:rFonts w:ascii="Arial" w:hAnsi="Arial" w:cs="Arial"/>
          <w:b/>
          <w:i/>
          <w:color w:val="002060"/>
          <w:spacing w:val="-4"/>
          <w:sz w:val="28"/>
          <w:szCs w:val="28"/>
        </w:rPr>
      </w:pPr>
      <w:r>
        <w:rPr>
          <w:rFonts w:ascii="Arial" w:hAnsi="Arial" w:cs="Arial"/>
          <w:b/>
          <w:i/>
          <w:color w:val="002060"/>
          <w:spacing w:val="-4"/>
          <w:sz w:val="28"/>
          <w:szCs w:val="28"/>
        </w:rPr>
        <w:t>What are they and why are they in the curriculum</w:t>
      </w:r>
      <w:r w:rsidR="00AD6B5F" w:rsidRPr="004C7411">
        <w:rPr>
          <w:rFonts w:ascii="Arial" w:hAnsi="Arial" w:cs="Arial"/>
          <w:b/>
          <w:i/>
          <w:color w:val="002060"/>
          <w:spacing w:val="-4"/>
          <w:sz w:val="28"/>
          <w:szCs w:val="28"/>
        </w:rPr>
        <w:t>?</w:t>
      </w:r>
    </w:p>
    <w:p w14:paraId="52C7FA90" w14:textId="77777777" w:rsidR="00021F64" w:rsidRDefault="00021F64" w:rsidP="000C50E1">
      <w:pPr>
        <w:rPr>
          <w:rFonts w:ascii="Arial" w:hAnsi="Arial" w:cs="Arial"/>
          <w:spacing w:val="-4"/>
          <w:sz w:val="26"/>
          <w:szCs w:val="26"/>
        </w:rPr>
      </w:pPr>
    </w:p>
    <w:p w14:paraId="460B024B" w14:textId="378C4DE9" w:rsidR="00D95878" w:rsidRDefault="004E2905" w:rsidP="00372276">
      <w:pPr>
        <w:widowControl w:val="0"/>
        <w:autoSpaceDE w:val="0"/>
        <w:autoSpaceDN w:val="0"/>
        <w:adjustRightInd w:val="0"/>
        <w:ind w:right="4"/>
        <w:rPr>
          <w:rFonts w:ascii="Times" w:hAnsi="Times" w:cs="Arial"/>
          <w:b/>
          <w:bCs/>
          <w:color w:val="3B3838"/>
          <w:spacing w:val="-4"/>
          <w:kern w:val="1"/>
          <w:lang w:val="en-CA"/>
        </w:rPr>
      </w:pPr>
      <w:r>
        <w:rPr>
          <w:rFonts w:ascii="Times" w:hAnsi="Times" w:cs="Arial"/>
          <w:bCs/>
          <w:color w:val="3B3838"/>
          <w:spacing w:val="-4"/>
          <w:kern w:val="1"/>
          <w:lang w:val="en-CA"/>
        </w:rPr>
        <w:t xml:space="preserve">The BC curriculum has been redesigned </w:t>
      </w:r>
      <w:r w:rsidR="005B601B">
        <w:rPr>
          <w:rFonts w:ascii="Times" w:hAnsi="Times" w:cs="Arial"/>
          <w:bCs/>
          <w:color w:val="3B3838"/>
          <w:spacing w:val="-4"/>
          <w:kern w:val="1"/>
          <w:lang w:val="en-CA"/>
        </w:rPr>
        <w:t xml:space="preserve">to </w:t>
      </w:r>
      <w:r w:rsidR="00CC43CB">
        <w:rPr>
          <w:rFonts w:ascii="Times" w:hAnsi="Times" w:cs="Arial"/>
          <w:bCs/>
          <w:color w:val="3B3838"/>
          <w:spacing w:val="-4"/>
          <w:kern w:val="1"/>
          <w:lang w:val="en-CA"/>
        </w:rPr>
        <w:t xml:space="preserve">meet the needs of </w:t>
      </w:r>
      <w:r w:rsidR="005B601B">
        <w:rPr>
          <w:rFonts w:ascii="Times" w:hAnsi="Times" w:cs="Arial"/>
          <w:bCs/>
          <w:color w:val="3B3838"/>
          <w:spacing w:val="-4"/>
          <w:kern w:val="1"/>
          <w:lang w:val="en-CA"/>
        </w:rPr>
        <w:t>2</w:t>
      </w:r>
      <w:r w:rsidR="00521D62">
        <w:rPr>
          <w:rFonts w:ascii="Times" w:hAnsi="Times" w:cs="Arial"/>
          <w:bCs/>
          <w:color w:val="3B3838"/>
          <w:spacing w:val="-4"/>
          <w:kern w:val="1"/>
          <w:lang w:val="en-CA"/>
        </w:rPr>
        <w:t>1</w:t>
      </w:r>
      <w:r w:rsidR="00521D62" w:rsidRPr="00521D62">
        <w:rPr>
          <w:rFonts w:ascii="Times" w:hAnsi="Times" w:cs="Arial"/>
          <w:bCs/>
          <w:color w:val="3B3838"/>
          <w:spacing w:val="-4"/>
          <w:kern w:val="1"/>
          <w:vertAlign w:val="superscript"/>
          <w:lang w:val="en-CA"/>
        </w:rPr>
        <w:t>st</w:t>
      </w:r>
      <w:r w:rsidR="00521D62">
        <w:rPr>
          <w:rFonts w:ascii="Times" w:hAnsi="Times" w:cs="Arial"/>
          <w:bCs/>
          <w:color w:val="3B3838"/>
          <w:spacing w:val="-4"/>
          <w:kern w:val="1"/>
          <w:lang w:val="en-CA"/>
        </w:rPr>
        <w:t xml:space="preserve"> century </w:t>
      </w:r>
      <w:r w:rsidR="00CC43CB">
        <w:rPr>
          <w:rFonts w:ascii="Times" w:hAnsi="Times" w:cs="Arial"/>
          <w:bCs/>
          <w:color w:val="3B3838"/>
          <w:spacing w:val="-4"/>
          <w:kern w:val="1"/>
          <w:lang w:val="en-CA"/>
        </w:rPr>
        <w:t>students</w:t>
      </w:r>
      <w:r w:rsidR="00AF1FC6">
        <w:rPr>
          <w:rFonts w:ascii="Times" w:hAnsi="Times" w:cs="Arial"/>
          <w:bCs/>
          <w:color w:val="3B3838"/>
          <w:spacing w:val="-4"/>
          <w:kern w:val="1"/>
          <w:lang w:val="en-CA"/>
        </w:rPr>
        <w:t xml:space="preserve">. </w:t>
      </w:r>
      <w:r w:rsidR="002C47A2">
        <w:rPr>
          <w:rFonts w:ascii="Times" w:hAnsi="Times" w:cs="Arial"/>
          <w:bCs/>
          <w:color w:val="3B3838"/>
          <w:spacing w:val="-4"/>
          <w:kern w:val="1"/>
          <w:lang w:val="en-CA"/>
        </w:rPr>
        <w:t xml:space="preserve">The </w:t>
      </w:r>
      <w:r w:rsidR="00673DDD">
        <w:rPr>
          <w:rFonts w:ascii="Times" w:hAnsi="Times" w:cs="Arial"/>
          <w:bCs/>
          <w:color w:val="3B3838"/>
          <w:spacing w:val="-4"/>
          <w:kern w:val="1"/>
          <w:lang w:val="en-CA"/>
        </w:rPr>
        <w:t>new</w:t>
      </w:r>
      <w:r w:rsidR="00F94798">
        <w:rPr>
          <w:rFonts w:ascii="Times" w:hAnsi="Times" w:cs="Arial"/>
          <w:bCs/>
          <w:color w:val="3B3838"/>
          <w:spacing w:val="-4"/>
          <w:kern w:val="1"/>
          <w:lang w:val="en-CA"/>
        </w:rPr>
        <w:t xml:space="preserve"> curriculum maintains a</w:t>
      </w:r>
      <w:r w:rsidR="00372276">
        <w:rPr>
          <w:rFonts w:ascii="Times" w:hAnsi="Times" w:cs="Arial"/>
          <w:bCs/>
          <w:color w:val="3B3838"/>
          <w:spacing w:val="-4"/>
          <w:kern w:val="1"/>
          <w:lang w:val="en-CA"/>
        </w:rPr>
        <w:t xml:space="preserve"> focus on literacy and numeracy</w:t>
      </w:r>
      <w:r w:rsidR="00F94798">
        <w:rPr>
          <w:rFonts w:ascii="Times" w:hAnsi="Times" w:cs="Arial"/>
          <w:bCs/>
          <w:color w:val="3B3838"/>
          <w:spacing w:val="-4"/>
          <w:kern w:val="1"/>
          <w:lang w:val="en-CA"/>
        </w:rPr>
        <w:t xml:space="preserve"> while supporting deeper learning through </w:t>
      </w:r>
      <w:r w:rsidR="00FC29D4" w:rsidRPr="00FC29D4">
        <w:rPr>
          <w:rFonts w:ascii="Times" w:hAnsi="Times" w:cs="Arial"/>
          <w:bCs/>
          <w:color w:val="3B3838"/>
          <w:spacing w:val="-4"/>
          <w:kern w:val="1"/>
          <w:lang w:val="en-CA"/>
        </w:rPr>
        <w:t xml:space="preserve">three core competency areas: </w:t>
      </w:r>
      <w:r w:rsidR="00FC29D4" w:rsidRPr="00372276">
        <w:rPr>
          <w:rFonts w:ascii="Times" w:hAnsi="Times" w:cs="Arial"/>
          <w:b/>
          <w:bCs/>
          <w:color w:val="ED7D31" w:themeColor="accent2"/>
          <w:spacing w:val="-4"/>
          <w:kern w:val="1"/>
          <w:lang w:val="en-CA"/>
        </w:rPr>
        <w:t>communication</w:t>
      </w:r>
      <w:r w:rsidR="00FC29D4" w:rsidRPr="00372276">
        <w:rPr>
          <w:rFonts w:ascii="Times" w:hAnsi="Times" w:cs="Arial"/>
          <w:bCs/>
          <w:color w:val="3B3838"/>
          <w:spacing w:val="-4"/>
          <w:kern w:val="1"/>
          <w:lang w:val="en-CA"/>
        </w:rPr>
        <w:t>,</w:t>
      </w:r>
      <w:r w:rsidR="00FC29D4" w:rsidRPr="00FC29D4">
        <w:rPr>
          <w:rFonts w:ascii="Times" w:hAnsi="Times" w:cs="Arial"/>
          <w:b/>
          <w:bCs/>
          <w:color w:val="3B3838"/>
          <w:spacing w:val="-4"/>
          <w:kern w:val="1"/>
          <w:lang w:val="en-CA"/>
        </w:rPr>
        <w:t xml:space="preserve"> </w:t>
      </w:r>
      <w:r w:rsidR="00FC29D4" w:rsidRPr="00372276">
        <w:rPr>
          <w:rFonts w:ascii="Times" w:hAnsi="Times" w:cs="Arial"/>
          <w:b/>
          <w:bCs/>
          <w:color w:val="538135" w:themeColor="accent6" w:themeShade="BF"/>
          <w:spacing w:val="-4"/>
          <w:kern w:val="1"/>
          <w:lang w:val="en-CA"/>
        </w:rPr>
        <w:t>personal and social</w:t>
      </w:r>
      <w:r w:rsidR="00FC29D4" w:rsidRPr="00372276">
        <w:rPr>
          <w:rFonts w:ascii="Times" w:hAnsi="Times" w:cs="Arial"/>
          <w:bCs/>
          <w:color w:val="3B3838"/>
          <w:spacing w:val="-4"/>
          <w:kern w:val="1"/>
          <w:lang w:val="en-CA"/>
        </w:rPr>
        <w:t>,</w:t>
      </w:r>
      <w:r w:rsidR="00372276" w:rsidRPr="00372276">
        <w:rPr>
          <w:rFonts w:ascii="Times" w:hAnsi="Times" w:cs="Arial"/>
          <w:bCs/>
          <w:color w:val="3B3838"/>
          <w:spacing w:val="-4"/>
          <w:kern w:val="1"/>
          <w:lang w:val="en-CA"/>
        </w:rPr>
        <w:t xml:space="preserve"> and</w:t>
      </w:r>
      <w:r w:rsidR="00FC29D4" w:rsidRPr="00FC29D4">
        <w:rPr>
          <w:rFonts w:ascii="Times" w:hAnsi="Times" w:cs="Arial"/>
          <w:b/>
          <w:bCs/>
          <w:color w:val="3B3838"/>
          <w:spacing w:val="-4"/>
          <w:kern w:val="1"/>
          <w:lang w:val="en-CA"/>
        </w:rPr>
        <w:t xml:space="preserve"> </w:t>
      </w:r>
      <w:r w:rsidR="00FC29D4" w:rsidRPr="00372276">
        <w:rPr>
          <w:rFonts w:ascii="Times" w:hAnsi="Times" w:cs="Arial"/>
          <w:b/>
          <w:bCs/>
          <w:color w:val="4472C4" w:themeColor="accent5"/>
          <w:spacing w:val="-4"/>
          <w:kern w:val="1"/>
          <w:lang w:val="en-CA"/>
        </w:rPr>
        <w:t>thinking</w:t>
      </w:r>
      <w:r w:rsidR="00FC29D4" w:rsidRPr="00FC29D4">
        <w:rPr>
          <w:rFonts w:ascii="Times" w:hAnsi="Times" w:cs="Arial"/>
          <w:b/>
          <w:bCs/>
          <w:color w:val="3B3838"/>
          <w:spacing w:val="-4"/>
          <w:kern w:val="1"/>
          <w:lang w:val="en-CA"/>
        </w:rPr>
        <w:t xml:space="preserve">. </w:t>
      </w:r>
    </w:p>
    <w:p w14:paraId="2202FA0E" w14:textId="77777777" w:rsidR="00D95878" w:rsidRDefault="00D95878" w:rsidP="00372276">
      <w:pPr>
        <w:widowControl w:val="0"/>
        <w:autoSpaceDE w:val="0"/>
        <w:autoSpaceDN w:val="0"/>
        <w:adjustRightInd w:val="0"/>
        <w:ind w:right="4"/>
        <w:rPr>
          <w:rFonts w:ascii="Times" w:hAnsi="Times" w:cs="Arial"/>
          <w:b/>
          <w:bCs/>
          <w:color w:val="3B3838"/>
          <w:spacing w:val="-4"/>
          <w:kern w:val="1"/>
          <w:lang w:val="en-CA"/>
        </w:rPr>
      </w:pPr>
    </w:p>
    <w:p w14:paraId="033073EC" w14:textId="7B8E2E13" w:rsidR="00FC29D4" w:rsidRPr="00FC29D4" w:rsidRDefault="00FE6384" w:rsidP="00372276">
      <w:pPr>
        <w:widowControl w:val="0"/>
        <w:autoSpaceDE w:val="0"/>
        <w:autoSpaceDN w:val="0"/>
        <w:adjustRightInd w:val="0"/>
        <w:ind w:right="4"/>
        <w:rPr>
          <w:rFonts w:ascii="Times" w:hAnsi="Times" w:cs="Arial"/>
          <w:bCs/>
          <w:color w:val="3B3838"/>
          <w:spacing w:val="-4"/>
          <w:kern w:val="1"/>
          <w:lang w:val="en-CA"/>
        </w:rPr>
      </w:pPr>
      <w:r>
        <w:rPr>
          <w:rFonts w:ascii="Times" w:hAnsi="Times" w:cs="Arial"/>
          <w:bCs/>
          <w:color w:val="3B3838"/>
          <w:spacing w:val="-4"/>
          <w:kern w:val="1"/>
          <w:lang w:val="en-CA"/>
        </w:rPr>
        <w:t xml:space="preserve">Core competencies </w:t>
      </w:r>
      <w:r w:rsidR="00FC29D4" w:rsidRPr="00FC29D4">
        <w:rPr>
          <w:rFonts w:ascii="Times" w:hAnsi="Times" w:cs="Arial"/>
          <w:bCs/>
          <w:color w:val="3B3838"/>
          <w:spacing w:val="-4"/>
          <w:kern w:val="1"/>
          <w:lang w:val="en-CA"/>
        </w:rPr>
        <w:t>are sets of intellectual, personal, and social and emotional proficiencies that all students need to develop in order</w:t>
      </w:r>
      <w:r w:rsidR="00F94798">
        <w:rPr>
          <w:rFonts w:ascii="Times" w:hAnsi="Times" w:cs="Arial"/>
          <w:bCs/>
          <w:color w:val="3B3838"/>
          <w:spacing w:val="-4"/>
          <w:kern w:val="1"/>
          <w:lang w:val="en-CA"/>
        </w:rPr>
        <w:t xml:space="preserve"> to engage in </w:t>
      </w:r>
      <w:r w:rsidR="00FC29D4" w:rsidRPr="00FC29D4">
        <w:rPr>
          <w:rFonts w:ascii="Times" w:hAnsi="Times" w:cs="Arial"/>
          <w:bCs/>
          <w:color w:val="3B3838"/>
          <w:spacing w:val="-4"/>
          <w:kern w:val="1"/>
          <w:lang w:val="en-CA"/>
        </w:rPr>
        <w:t>life-long learning. Core competencies are evident in every area of learning and in every grade, and come into play when students become actively engaged in their learning.</w:t>
      </w:r>
    </w:p>
    <w:p w14:paraId="0FD75A73" w14:textId="77777777" w:rsidR="007A032E" w:rsidRPr="007D37B3" w:rsidRDefault="007A032E" w:rsidP="00D8046C">
      <w:pPr>
        <w:widowControl w:val="0"/>
        <w:autoSpaceDE w:val="0"/>
        <w:autoSpaceDN w:val="0"/>
        <w:adjustRightInd w:val="0"/>
        <w:ind w:right="-720"/>
        <w:rPr>
          <w:rFonts w:ascii="Times" w:hAnsi="Times" w:cs="Arial"/>
          <w:color w:val="3B3838"/>
          <w:spacing w:val="-4"/>
          <w:kern w:val="1"/>
        </w:rPr>
      </w:pPr>
    </w:p>
    <w:p w14:paraId="53B59C9B" w14:textId="77777777" w:rsidR="007A032E" w:rsidRPr="007D37B3" w:rsidRDefault="004C7411" w:rsidP="00D8046C">
      <w:pPr>
        <w:widowControl w:val="0"/>
        <w:autoSpaceDE w:val="0"/>
        <w:autoSpaceDN w:val="0"/>
        <w:adjustRightInd w:val="0"/>
        <w:ind w:right="-720"/>
        <w:rPr>
          <w:rFonts w:ascii="Times" w:hAnsi="Times" w:cs="Arial"/>
          <w:color w:val="3B3838"/>
          <w:spacing w:val="-4"/>
          <w:kern w:val="1"/>
        </w:rPr>
      </w:pPr>
      <w:r>
        <w:rPr>
          <w:rFonts w:ascii="Times" w:hAnsi="Times" w:cs="Arial"/>
          <w:color w:val="3B3838"/>
          <w:spacing w:val="-4"/>
          <w:kern w:val="1"/>
        </w:rPr>
        <w:t>For more information</w:t>
      </w:r>
      <w:r w:rsidR="007A032E" w:rsidRPr="007D37B3">
        <w:rPr>
          <w:rFonts w:ascii="Times" w:hAnsi="Times" w:cs="Arial"/>
          <w:color w:val="3B3838"/>
          <w:spacing w:val="-4"/>
          <w:kern w:val="1"/>
        </w:rPr>
        <w:t xml:space="preserve"> about the </w:t>
      </w:r>
      <w:r w:rsidR="007D37B3">
        <w:rPr>
          <w:rFonts w:ascii="Times" w:hAnsi="Times" w:cs="Arial"/>
          <w:spacing w:val="-4"/>
          <w:kern w:val="1"/>
        </w:rPr>
        <w:t xml:space="preserve">new </w:t>
      </w:r>
      <w:r>
        <w:rPr>
          <w:rFonts w:ascii="Times" w:hAnsi="Times" w:cs="Arial"/>
          <w:spacing w:val="-4"/>
          <w:kern w:val="1"/>
        </w:rPr>
        <w:t>curriculum, visit</w:t>
      </w:r>
      <w:r w:rsidR="007D37B3">
        <w:rPr>
          <w:rFonts w:ascii="Times" w:hAnsi="Times" w:cs="Arial"/>
          <w:color w:val="3B3838"/>
          <w:spacing w:val="-4"/>
          <w:kern w:val="1"/>
        </w:rPr>
        <w:t xml:space="preserve"> </w:t>
      </w:r>
      <w:hyperlink r:id="rId7" w:history="1">
        <w:r w:rsidR="007D37B3" w:rsidRPr="007D37B3">
          <w:rPr>
            <w:rStyle w:val="Hyperlink"/>
            <w:rFonts w:ascii="Times" w:hAnsi="Times" w:cs="Arial"/>
            <w:spacing w:val="-4"/>
            <w:kern w:val="1"/>
          </w:rPr>
          <w:t>http://www.sd42.ca/new-curriculum</w:t>
        </w:r>
      </w:hyperlink>
      <w:r w:rsidR="009B67D9">
        <w:rPr>
          <w:rFonts w:ascii="Times" w:hAnsi="Times" w:cs="Arial"/>
          <w:color w:val="3B3838"/>
          <w:spacing w:val="-4"/>
          <w:kern w:val="1"/>
        </w:rPr>
        <w:t>.</w:t>
      </w:r>
    </w:p>
    <w:p w14:paraId="06EE80B1" w14:textId="77777777" w:rsidR="004C7411" w:rsidRDefault="004C7411" w:rsidP="004C7411">
      <w:pPr>
        <w:jc w:val="center"/>
        <w:rPr>
          <w:rFonts w:ascii="Arial" w:hAnsi="Arial" w:cs="Arial"/>
          <w:b/>
          <w:bCs/>
          <w:color w:val="3B3838"/>
          <w:spacing w:val="-4"/>
          <w:kern w:val="1"/>
        </w:rPr>
      </w:pPr>
    </w:p>
    <w:p w14:paraId="06CBBD60" w14:textId="38444F30" w:rsidR="000C50E1" w:rsidRPr="00BD006F" w:rsidRDefault="00F34CA2" w:rsidP="004C7411">
      <w:pPr>
        <w:jc w:val="center"/>
        <w:rPr>
          <w:rFonts w:ascii="Arial" w:hAnsi="Arial" w:cs="Arial"/>
          <w:b/>
          <w:noProof/>
          <w:color w:val="3B3838" w:themeColor="background2" w:themeShade="40"/>
          <w:spacing w:val="-4"/>
        </w:rPr>
      </w:pPr>
      <w:r>
        <w:rPr>
          <w:rFonts w:ascii="Arial" w:hAnsi="Arial" w:cs="Arial"/>
          <w:b/>
          <w:bCs/>
          <w:color w:val="3B3838"/>
          <w:spacing w:val="-4"/>
          <w:kern w:val="1"/>
        </w:rPr>
        <w:t>Coming in November</w:t>
      </w:r>
      <w:r w:rsidR="009D3A1C">
        <w:rPr>
          <w:rFonts w:ascii="Arial" w:hAnsi="Arial" w:cs="Arial"/>
          <w:b/>
          <w:color w:val="3B3838"/>
          <w:spacing w:val="-4"/>
          <w:kern w:val="1"/>
        </w:rPr>
        <w:t xml:space="preserve"> </w:t>
      </w:r>
      <w:r w:rsidR="00FC29D4">
        <w:rPr>
          <w:rFonts w:ascii="Arial" w:hAnsi="Arial" w:cs="Arial"/>
          <w:b/>
          <w:color w:val="3B3838"/>
          <w:spacing w:val="-4"/>
          <w:kern w:val="1"/>
        </w:rPr>
        <w:t>–</w:t>
      </w:r>
      <w:r w:rsidR="00D8046C" w:rsidRPr="00BD006F">
        <w:rPr>
          <w:rFonts w:ascii="Arial" w:hAnsi="Arial" w:cs="Arial"/>
          <w:color w:val="3B3838"/>
          <w:spacing w:val="-4"/>
          <w:kern w:val="1"/>
        </w:rPr>
        <w:t xml:space="preserve"> </w:t>
      </w:r>
      <w:r w:rsidR="00FC29D4">
        <w:rPr>
          <w:rFonts w:ascii="Arial" w:hAnsi="Arial" w:cs="Arial"/>
          <w:i/>
          <w:color w:val="3B3838"/>
          <w:spacing w:val="-4"/>
          <w:kern w:val="1"/>
        </w:rPr>
        <w:t>The Communication Competency</w:t>
      </w:r>
      <w:r w:rsidR="00D8046C" w:rsidRPr="009D3A1C">
        <w:rPr>
          <w:rFonts w:ascii="Arial" w:hAnsi="Arial" w:cs="Arial"/>
          <w:i/>
          <w:noProof/>
          <w:color w:val="3B3838" w:themeColor="background2" w:themeShade="40"/>
          <w:spacing w:val="-4"/>
        </w:rPr>
        <w:t>.</w:t>
      </w:r>
    </w:p>
    <w:p w14:paraId="512CD2C2" w14:textId="231DC2E3" w:rsidR="00E750DB" w:rsidRDefault="00E750DB">
      <w:pPr>
        <w:rPr>
          <w:rFonts w:ascii="Arial" w:hAnsi="Arial" w:cs="Arial"/>
        </w:rPr>
      </w:pPr>
    </w:p>
    <w:p w14:paraId="3F9E2FDF" w14:textId="563C3460" w:rsidR="003977C6" w:rsidRDefault="003977C6" w:rsidP="00B84C72">
      <w:pPr>
        <w:rPr>
          <w:rFonts w:ascii="Arial" w:hAnsi="Arial" w:cs="Arial"/>
          <w:color w:val="7F7F7F" w:themeColor="text1" w:themeTint="80"/>
        </w:rPr>
      </w:pPr>
    </w:p>
    <w:p w14:paraId="61A5157D" w14:textId="5D42DFF6" w:rsidR="007155C5" w:rsidRPr="007155C5" w:rsidRDefault="007155C5" w:rsidP="007155C5">
      <w:pPr>
        <w:rPr>
          <w:rFonts w:ascii="Times New Roman" w:eastAsia="Times New Roman" w:hAnsi="Times New Roman" w:cs="Times New Roman"/>
        </w:rPr>
      </w:pPr>
      <w:r w:rsidRPr="007155C5">
        <w:rPr>
          <w:rFonts w:ascii="Arial" w:eastAsia="Times New Roman" w:hAnsi="Arial" w:cs="Arial"/>
          <w:color w:val="000000"/>
          <w:shd w:val="clear" w:color="auto" w:fill="FFFFFF"/>
        </w:rPr>
        <w:t>The communication competency encompasses the set of abilities that students use to impart and exchange information, experiences and ideas, to explore the world around them, and to understand and effectively engage in th</w:t>
      </w:r>
      <w:r w:rsidR="002F3808" w:rsidRPr="007155C5">
        <w:rPr>
          <w:rFonts w:ascii="Arial" w:eastAsia="Times New Roman" w:hAnsi="Arial" w:cs="Arial"/>
          <w:color w:val="000000"/>
          <w:shd w:val="clear" w:color="auto" w:fill="FFFFFF"/>
        </w:rPr>
        <w:t>e use of digital media.</w:t>
      </w:r>
      <w:r w:rsidR="004A1B84">
        <w:rPr>
          <w:rFonts w:ascii="Helvetica" w:hAnsi="Helvetica" w:cs="Helvetica"/>
          <w:noProof/>
        </w:rPr>
        <w:drawing>
          <wp:inline distT="0" distB="0" distL="0" distR="0" wp14:anchorId="38908FEE" wp14:editId="2A16F53A">
            <wp:extent cx="1361085" cy="1150983"/>
            <wp:effectExtent l="0" t="0" r="1079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853" cy="1194760"/>
                    </a:xfrm>
                    <a:prstGeom prst="rect">
                      <a:avLst/>
                    </a:prstGeom>
                    <a:noFill/>
                    <a:ln>
                      <a:noFill/>
                    </a:ln>
                  </pic:spPr>
                </pic:pic>
              </a:graphicData>
            </a:graphic>
          </wp:inline>
        </w:drawing>
      </w:r>
      <w:r w:rsidR="002F3808" w:rsidRPr="002F3808">
        <w:rPr>
          <w:rFonts w:ascii="Helvetica" w:hAnsi="Helvetica" w:cs="Helvetica"/>
          <w:noProof/>
        </w:rPr>
        <w:t xml:space="preserve"> </w:t>
      </w:r>
      <w:r w:rsidR="002F3808">
        <w:rPr>
          <w:rFonts w:ascii="Helvetica" w:hAnsi="Helvetica" w:cs="Helvetica"/>
          <w:noProof/>
        </w:rPr>
        <w:drawing>
          <wp:inline distT="0" distB="0" distL="0" distR="0" wp14:anchorId="3FF60907" wp14:editId="75CB2D93">
            <wp:extent cx="1676235" cy="142856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841" cy="1468289"/>
                    </a:xfrm>
                    <a:prstGeom prst="rect">
                      <a:avLst/>
                    </a:prstGeom>
                    <a:noFill/>
                    <a:ln>
                      <a:noFill/>
                    </a:ln>
                  </pic:spPr>
                </pic:pic>
              </a:graphicData>
            </a:graphic>
          </wp:inline>
        </w:drawing>
      </w:r>
      <w:r w:rsidR="00CE58BC">
        <w:rPr>
          <w:bCs/>
          <w:i/>
          <w:noProof/>
          <w:color w:val="808080" w:themeColor="background1" w:themeShade="80"/>
          <w:sz w:val="22"/>
          <w:szCs w:val="22"/>
        </w:rPr>
        <w:drawing>
          <wp:inline distT="0" distB="0" distL="0" distR="0" wp14:anchorId="6996BD93" wp14:editId="56F3AF1B">
            <wp:extent cx="2474258" cy="17845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7-09-28 at 9.38.56 AM.png"/>
                    <pic:cNvPicPr/>
                  </pic:nvPicPr>
                  <pic:blipFill>
                    <a:blip r:embed="rId10">
                      <a:extLst>
                        <a:ext uri="{28A0092B-C50C-407E-A947-70E740481C1C}">
                          <a14:useLocalDpi xmlns:a14="http://schemas.microsoft.com/office/drawing/2010/main" val="0"/>
                        </a:ext>
                      </a:extLst>
                    </a:blip>
                    <a:stretch>
                      <a:fillRect/>
                    </a:stretch>
                  </pic:blipFill>
                  <pic:spPr>
                    <a:xfrm>
                      <a:off x="0" y="0"/>
                      <a:ext cx="2479034" cy="1787975"/>
                    </a:xfrm>
                    <a:prstGeom prst="rect">
                      <a:avLst/>
                    </a:prstGeom>
                  </pic:spPr>
                </pic:pic>
              </a:graphicData>
            </a:graphic>
          </wp:inline>
        </w:drawing>
      </w:r>
    </w:p>
    <w:p w14:paraId="3DD2E7C4" w14:textId="38EC148A" w:rsidR="007155C5" w:rsidRDefault="00CE58BC" w:rsidP="00995FA7">
      <w:pPr>
        <w:rPr>
          <w:bCs/>
          <w:i/>
          <w:color w:val="808080" w:themeColor="background1" w:themeShade="80"/>
          <w:sz w:val="22"/>
          <w:szCs w:val="22"/>
          <w:lang w:val="en-CA"/>
        </w:rPr>
      </w:pPr>
      <w:r>
        <w:rPr>
          <w:bCs/>
          <w:i/>
          <w:color w:val="808080" w:themeColor="background1" w:themeShade="80"/>
          <w:sz w:val="22"/>
          <w:szCs w:val="22"/>
          <w:lang w:val="en-CA"/>
        </w:rPr>
        <w:t>We engage in reading about the world around us.</w:t>
      </w:r>
    </w:p>
    <w:p w14:paraId="0EA05BBD" w14:textId="77777777" w:rsidR="00CE58BC" w:rsidRDefault="00CE58BC" w:rsidP="00995FA7">
      <w:pPr>
        <w:rPr>
          <w:bCs/>
          <w:i/>
          <w:color w:val="808080" w:themeColor="background1" w:themeShade="80"/>
          <w:sz w:val="22"/>
          <w:szCs w:val="22"/>
          <w:lang w:val="en-CA"/>
        </w:rPr>
      </w:pPr>
    </w:p>
    <w:p w14:paraId="58C37BA9" w14:textId="07A6D39C" w:rsidR="00CE58BC" w:rsidRDefault="00CE58BC" w:rsidP="00995FA7">
      <w:pPr>
        <w:rPr>
          <w:bCs/>
          <w:i/>
          <w:color w:val="808080" w:themeColor="background1" w:themeShade="80"/>
          <w:sz w:val="22"/>
          <w:szCs w:val="22"/>
          <w:lang w:val="en-CA"/>
        </w:rPr>
      </w:pPr>
      <w:r>
        <w:rPr>
          <w:bCs/>
          <w:i/>
          <w:color w:val="808080" w:themeColor="background1" w:themeShade="80"/>
          <w:sz w:val="22"/>
          <w:szCs w:val="22"/>
          <w:lang w:val="en-CA"/>
        </w:rPr>
        <w:t>We</w:t>
      </w:r>
      <w:r w:rsidR="003D2674">
        <w:rPr>
          <w:bCs/>
          <w:i/>
          <w:color w:val="808080" w:themeColor="background1" w:themeShade="80"/>
          <w:sz w:val="22"/>
          <w:szCs w:val="22"/>
          <w:lang w:val="en-CA"/>
        </w:rPr>
        <w:t xml:space="preserve"> exchange information, experiences and ideas, and can build structures together! We also </w:t>
      </w:r>
      <w:r>
        <w:rPr>
          <w:bCs/>
          <w:i/>
          <w:color w:val="808080" w:themeColor="background1" w:themeShade="80"/>
          <w:sz w:val="22"/>
          <w:szCs w:val="22"/>
          <w:lang w:val="en-CA"/>
        </w:rPr>
        <w:t>celebrate our success with others</w:t>
      </w:r>
      <w:r w:rsidR="003D2674">
        <w:rPr>
          <w:bCs/>
          <w:i/>
          <w:color w:val="808080" w:themeColor="background1" w:themeShade="80"/>
          <w:sz w:val="22"/>
          <w:szCs w:val="22"/>
          <w:lang w:val="en-CA"/>
        </w:rPr>
        <w:t>!</w:t>
      </w:r>
    </w:p>
    <w:p w14:paraId="33D64EF8" w14:textId="77777777" w:rsidR="00CE58BC" w:rsidRDefault="00CE58BC" w:rsidP="00995FA7">
      <w:pPr>
        <w:rPr>
          <w:bCs/>
          <w:i/>
          <w:color w:val="808080" w:themeColor="background1" w:themeShade="80"/>
          <w:sz w:val="22"/>
          <w:szCs w:val="22"/>
          <w:lang w:val="en-CA"/>
        </w:rPr>
      </w:pPr>
      <w:bookmarkStart w:id="0" w:name="_GoBack"/>
      <w:bookmarkEnd w:id="0"/>
    </w:p>
    <w:p w14:paraId="031A74DB" w14:textId="2901B759" w:rsidR="00CE58BC" w:rsidRPr="009D3A1C" w:rsidRDefault="00CE58BC" w:rsidP="00995FA7">
      <w:pPr>
        <w:rPr>
          <w:bCs/>
          <w:i/>
          <w:color w:val="808080" w:themeColor="background1" w:themeShade="80"/>
          <w:sz w:val="22"/>
          <w:szCs w:val="22"/>
          <w:lang w:val="en-CA"/>
        </w:rPr>
      </w:pPr>
      <w:r>
        <w:rPr>
          <w:bCs/>
          <w:i/>
          <w:color w:val="808080" w:themeColor="background1" w:themeShade="80"/>
          <w:sz w:val="22"/>
          <w:szCs w:val="22"/>
          <w:lang w:val="en-CA"/>
        </w:rPr>
        <w:t xml:space="preserve">We learn new skills, and improve on existing skills as we explore the world. </w:t>
      </w:r>
    </w:p>
    <w:sectPr w:rsidR="00CE58BC" w:rsidRPr="009D3A1C" w:rsidSect="00875FE6">
      <w:headerReference w:type="default" r:id="rId11"/>
      <w:footerReference w:type="default" r:id="rId12"/>
      <w:pgSz w:w="12240" w:h="15840"/>
      <w:pgMar w:top="172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AD872" w14:textId="77777777" w:rsidR="00736CF1" w:rsidRDefault="00736CF1" w:rsidP="00E750DB">
      <w:r>
        <w:separator/>
      </w:r>
    </w:p>
  </w:endnote>
  <w:endnote w:type="continuationSeparator" w:id="0">
    <w:p w14:paraId="53CDC230" w14:textId="77777777" w:rsidR="00736CF1" w:rsidRDefault="00736CF1" w:rsidP="00E7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1506A" w14:textId="77777777" w:rsidR="007618DC" w:rsidRDefault="007618DC" w:rsidP="007618DC">
    <w:pPr>
      <w:keepNext/>
      <w:rPr>
        <w:b/>
        <w:i/>
        <w:color w:val="595959" w:themeColor="text1" w:themeTint="A6"/>
      </w:rPr>
    </w:pPr>
    <w:r>
      <w:rPr>
        <w:rFonts w:ascii="Arial" w:hAnsi="Arial" w:cs="Arial"/>
        <w:noProof/>
        <w:color w:val="3B3838" w:themeColor="background2" w:themeShade="40"/>
        <w:spacing w:val="-4"/>
        <w:sz w:val="28"/>
        <w:szCs w:val="28"/>
      </w:rPr>
      <w:drawing>
        <wp:anchor distT="0" distB="0" distL="114300" distR="114300" simplePos="0" relativeHeight="251659264" behindDoc="0" locked="0" layoutInCell="1" allowOverlap="1" wp14:anchorId="68D20F6B" wp14:editId="5DA66871">
          <wp:simplePos x="0" y="0"/>
          <wp:positionH relativeFrom="column">
            <wp:posOffset>-542925</wp:posOffset>
          </wp:positionH>
          <wp:positionV relativeFrom="paragraph">
            <wp:posOffset>177800</wp:posOffset>
          </wp:positionV>
          <wp:extent cx="1164590" cy="977900"/>
          <wp:effectExtent l="0" t="0" r="38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etencies triangle.png"/>
                  <pic:cNvPicPr/>
                </pic:nvPicPr>
                <pic:blipFill>
                  <a:blip r:embed="rId1">
                    <a:extLst>
                      <a:ext uri="{28A0092B-C50C-407E-A947-70E740481C1C}">
                        <a14:useLocalDpi xmlns:a14="http://schemas.microsoft.com/office/drawing/2010/main" val="0"/>
                      </a:ext>
                    </a:extLst>
                  </a:blip>
                  <a:stretch>
                    <a:fillRect/>
                  </a:stretch>
                </pic:blipFill>
                <pic:spPr>
                  <a:xfrm>
                    <a:off x="0" y="0"/>
                    <a:ext cx="1164590" cy="977900"/>
                  </a:xfrm>
                  <a:prstGeom prst="rect">
                    <a:avLst/>
                  </a:prstGeom>
                </pic:spPr>
              </pic:pic>
            </a:graphicData>
          </a:graphic>
          <wp14:sizeRelH relativeFrom="page">
            <wp14:pctWidth>0</wp14:pctWidth>
          </wp14:sizeRelH>
          <wp14:sizeRelV relativeFrom="page">
            <wp14:pctHeight>0</wp14:pctHeight>
          </wp14:sizeRelV>
        </wp:anchor>
      </w:drawing>
    </w:r>
  </w:p>
  <w:p w14:paraId="02A6E24E" w14:textId="77777777" w:rsidR="007618DC" w:rsidRPr="003543FE" w:rsidRDefault="007618DC" w:rsidP="007618DC">
    <w:pPr>
      <w:keepNext/>
      <w:rPr>
        <w:b/>
        <w:i/>
        <w:color w:val="595959" w:themeColor="text1" w:themeTint="A6"/>
      </w:rPr>
    </w:pPr>
    <w:r w:rsidRPr="003543FE">
      <w:rPr>
        <w:b/>
        <w:i/>
        <w:color w:val="595959" w:themeColor="text1" w:themeTint="A6"/>
      </w:rPr>
      <w:t>Core Competencies: What are they and why are they in the new curriculum?</w:t>
    </w:r>
  </w:p>
  <w:p w14:paraId="57447E1C" w14:textId="00E29C8A" w:rsidR="007618DC" w:rsidRPr="003543FE" w:rsidRDefault="007618DC" w:rsidP="007618DC">
    <w:pPr>
      <w:keepNext/>
      <w:rPr>
        <w:bCs/>
        <w:i/>
        <w:color w:val="808080" w:themeColor="background1" w:themeShade="80"/>
        <w:sz w:val="22"/>
        <w:szCs w:val="22"/>
        <w:lang w:val="en-CA"/>
      </w:rPr>
    </w:pPr>
    <w:r w:rsidRPr="003543FE">
      <w:rPr>
        <w:bCs/>
        <w:i/>
        <w:color w:val="808080" w:themeColor="background1" w:themeShade="80"/>
        <w:sz w:val="22"/>
        <w:szCs w:val="22"/>
        <w:lang w:val="en-CA"/>
      </w:rPr>
      <w:t xml:space="preserve">The new curriculum centres around the following three core competency areas: </w:t>
    </w:r>
    <w:r w:rsidRPr="003543FE">
      <w:rPr>
        <w:b/>
        <w:bCs/>
        <w:i/>
        <w:color w:val="F25A23"/>
        <w:sz w:val="22"/>
        <w:szCs w:val="22"/>
        <w:lang w:val="en-CA"/>
      </w:rPr>
      <w:t>communication</w:t>
    </w:r>
    <w:r w:rsidRPr="003543FE">
      <w:rPr>
        <w:b/>
        <w:bCs/>
        <w:i/>
        <w:color w:val="428458"/>
        <w:sz w:val="22"/>
        <w:szCs w:val="22"/>
        <w:lang w:val="en-CA"/>
      </w:rPr>
      <w:t>, personal and social</w:t>
    </w:r>
    <w:r w:rsidRPr="003543FE">
      <w:rPr>
        <w:b/>
        <w:bCs/>
        <w:i/>
        <w:color w:val="808080" w:themeColor="background1" w:themeShade="80"/>
        <w:sz w:val="22"/>
        <w:szCs w:val="22"/>
        <w:lang w:val="en-CA"/>
      </w:rPr>
      <w:t xml:space="preserve">, </w:t>
    </w:r>
    <w:r w:rsidRPr="003543FE">
      <w:rPr>
        <w:b/>
        <w:bCs/>
        <w:i/>
        <w:color w:val="256BA7"/>
        <w:sz w:val="22"/>
        <w:szCs w:val="22"/>
        <w:lang w:val="en-CA"/>
      </w:rPr>
      <w:t>thinking</w:t>
    </w:r>
    <w:r w:rsidRPr="003543FE">
      <w:rPr>
        <w:b/>
        <w:bCs/>
        <w:i/>
        <w:color w:val="808080" w:themeColor="background1" w:themeShade="80"/>
        <w:sz w:val="22"/>
        <w:szCs w:val="22"/>
        <w:lang w:val="en-CA"/>
      </w:rPr>
      <w:t xml:space="preserve">. </w:t>
    </w:r>
    <w:r w:rsidRPr="003543FE">
      <w:rPr>
        <w:bCs/>
        <w:i/>
        <w:color w:val="808080" w:themeColor="background1" w:themeShade="80"/>
        <w:sz w:val="22"/>
        <w:szCs w:val="22"/>
        <w:lang w:val="en-CA"/>
      </w:rPr>
      <w:t>They are sets of intellectual, personal, and social and emotional proficiencies that all students need to develop in order to engage in deep learnin</w:t>
    </w:r>
    <w:r>
      <w:rPr>
        <w:bCs/>
        <w:i/>
        <w:color w:val="808080" w:themeColor="background1" w:themeShade="80"/>
        <w:sz w:val="22"/>
        <w:szCs w:val="22"/>
        <w:lang w:val="en-CA"/>
      </w:rPr>
      <w:t>g and life-long learning. C</w:t>
    </w:r>
    <w:r w:rsidRPr="003543FE">
      <w:rPr>
        <w:bCs/>
        <w:i/>
        <w:color w:val="808080" w:themeColor="background1" w:themeShade="80"/>
        <w:sz w:val="22"/>
        <w:szCs w:val="22"/>
        <w:lang w:val="en-CA"/>
      </w:rPr>
      <w:t>ompetencies are evident in every area of learning and in every grade, and come into play when students become actively engaged in their learning.</w:t>
    </w:r>
    <w:r w:rsidR="00285784">
      <w:rPr>
        <w:rFonts w:ascii="Calibri" w:hAnsi="Calibri" w:cs="Calibri"/>
        <w:sz w:val="28"/>
        <w:szCs w:val="28"/>
      </w:rPr>
      <w:t xml:space="preserve"> </w:t>
    </w:r>
    <w:r w:rsidR="00870BE1" w:rsidRPr="00870BE1">
      <w:rPr>
        <w:bCs/>
        <w:i/>
        <w:color w:val="808080" w:themeColor="background1" w:themeShade="80"/>
        <w:sz w:val="22"/>
        <w:szCs w:val="22"/>
      </w:rPr>
      <w:t>During the school year, students will have an opportunity to s</w:t>
    </w:r>
    <w:r w:rsidR="00C75CBE">
      <w:rPr>
        <w:bCs/>
        <w:i/>
        <w:color w:val="808080" w:themeColor="background1" w:themeShade="80"/>
        <w:sz w:val="22"/>
        <w:szCs w:val="22"/>
      </w:rPr>
      <w:t xml:space="preserve">elf-assess their proficiencies </w:t>
    </w:r>
    <w:r w:rsidR="00870BE1" w:rsidRPr="00870BE1">
      <w:rPr>
        <w:bCs/>
        <w:i/>
        <w:color w:val="808080" w:themeColor="background1" w:themeShade="80"/>
        <w:sz w:val="22"/>
        <w:szCs w:val="22"/>
      </w:rPr>
      <w:t>in these core competencies.</w:t>
    </w:r>
  </w:p>
  <w:p w14:paraId="79A6E5B7" w14:textId="77777777" w:rsidR="008B5C14" w:rsidRDefault="008B5C14" w:rsidP="00C75CBE">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6E53A" w14:textId="77777777" w:rsidR="00736CF1" w:rsidRDefault="00736CF1" w:rsidP="00E750DB">
      <w:r>
        <w:separator/>
      </w:r>
    </w:p>
  </w:footnote>
  <w:footnote w:type="continuationSeparator" w:id="0">
    <w:p w14:paraId="27D7B9CD" w14:textId="77777777" w:rsidR="00736CF1" w:rsidRDefault="00736CF1" w:rsidP="00E750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B3F2" w14:textId="00835F98" w:rsidR="000C50E1" w:rsidRPr="007D37B3" w:rsidRDefault="00226C9F" w:rsidP="000C50E1">
    <w:pPr>
      <w:pStyle w:val="Header"/>
      <w:tabs>
        <w:tab w:val="clear" w:pos="9360"/>
      </w:tabs>
      <w:ind w:left="-284" w:right="-563"/>
      <w:jc w:val="center"/>
      <w:rPr>
        <w:b/>
        <w:i/>
        <w:sz w:val="40"/>
        <w:szCs w:val="40"/>
      </w:rPr>
    </w:pPr>
    <w:r w:rsidRPr="00226C9F">
      <w:rPr>
        <w:b/>
        <w:noProof/>
        <w:color w:val="FFFFFF" w:themeColor="background1"/>
        <w:sz w:val="40"/>
        <w:szCs w:val="40"/>
      </w:rPr>
      <mc:AlternateContent>
        <mc:Choice Requires="wps">
          <w:drawing>
            <wp:anchor distT="0" distB="0" distL="114300" distR="114300" simplePos="0" relativeHeight="251661312" behindDoc="1" locked="0" layoutInCell="1" allowOverlap="1" wp14:anchorId="7E6A899A" wp14:editId="1AF42A16">
              <wp:simplePos x="0" y="0"/>
              <wp:positionH relativeFrom="column">
                <wp:posOffset>-901065</wp:posOffset>
              </wp:positionH>
              <wp:positionV relativeFrom="paragraph">
                <wp:posOffset>-444409</wp:posOffset>
              </wp:positionV>
              <wp:extent cx="7927249" cy="914400"/>
              <wp:effectExtent l="0" t="0" r="23495" b="25400"/>
              <wp:wrapNone/>
              <wp:docPr id="2" name="Rectangle 2"/>
              <wp:cNvGraphicFramePr/>
              <a:graphic xmlns:a="http://schemas.openxmlformats.org/drawingml/2006/main">
                <a:graphicData uri="http://schemas.microsoft.com/office/word/2010/wordprocessingShape">
                  <wps:wsp>
                    <wps:cNvSpPr/>
                    <wps:spPr>
                      <a:xfrm>
                        <a:off x="0" y="0"/>
                        <a:ext cx="7927249" cy="9144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3AC107" id="Rectangle 2" o:spid="_x0000_s1026" style="position:absolute;margin-left:-70.95pt;margin-top:-34.95pt;width:624.2pt;height:1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" fillcolor="#2e74b5 [2404]" strokecolor="#1f4d78 [1604]" strokeweight="1pt"/>
          </w:pict>
        </mc:Fallback>
      </mc:AlternateContent>
    </w:r>
    <w:r w:rsidR="00021F64" w:rsidRPr="00226C9F">
      <w:rPr>
        <w:b/>
        <w:color w:val="FFFFFF" w:themeColor="background1"/>
        <w:sz w:val="40"/>
        <w:szCs w:val="40"/>
      </w:rPr>
      <w:t>The Redesigned</w:t>
    </w:r>
    <w:r w:rsidR="000C50E1" w:rsidRPr="00226C9F">
      <w:rPr>
        <w:b/>
        <w:color w:val="FFFFFF" w:themeColor="background1"/>
        <w:sz w:val="40"/>
        <w:szCs w:val="40"/>
      </w:rPr>
      <w:t xml:space="preserve"> Curriculum </w:t>
    </w:r>
    <w:r w:rsidR="008527C3" w:rsidRPr="00226C9F">
      <w:rPr>
        <w:b/>
        <w:color w:val="FFFFFF" w:themeColor="background1"/>
        <w:sz w:val="40"/>
        <w:szCs w:val="40"/>
      </w:rPr>
      <w:t xml:space="preserve">at </w:t>
    </w:r>
    <w:r w:rsidR="00A75FDB">
      <w:rPr>
        <w:b/>
        <w:i/>
        <w:color w:val="FFFFFF" w:themeColor="background1"/>
        <w:sz w:val="40"/>
        <w:szCs w:val="40"/>
      </w:rPr>
      <w:t>GLENWOOD ELEMENTARY</w:t>
    </w:r>
  </w:p>
  <w:p w14:paraId="5B173323" w14:textId="77777777" w:rsidR="000C50E1" w:rsidRDefault="000C50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DB"/>
    <w:rsid w:val="00021F64"/>
    <w:rsid w:val="0003109C"/>
    <w:rsid w:val="0003391B"/>
    <w:rsid w:val="00046FB3"/>
    <w:rsid w:val="0005057A"/>
    <w:rsid w:val="00061301"/>
    <w:rsid w:val="00096588"/>
    <w:rsid w:val="000A00AE"/>
    <w:rsid w:val="000B233D"/>
    <w:rsid w:val="000C50E1"/>
    <w:rsid w:val="000D2ABB"/>
    <w:rsid w:val="000F5BB1"/>
    <w:rsid w:val="00100BFE"/>
    <w:rsid w:val="00105B0D"/>
    <w:rsid w:val="00124DE9"/>
    <w:rsid w:val="00145019"/>
    <w:rsid w:val="00147D5E"/>
    <w:rsid w:val="00147E7A"/>
    <w:rsid w:val="00165D76"/>
    <w:rsid w:val="001B34D2"/>
    <w:rsid w:val="001C14E9"/>
    <w:rsid w:val="001D43DB"/>
    <w:rsid w:val="001D7BA1"/>
    <w:rsid w:val="00226C9F"/>
    <w:rsid w:val="002514EC"/>
    <w:rsid w:val="002829BF"/>
    <w:rsid w:val="00285784"/>
    <w:rsid w:val="002C47A2"/>
    <w:rsid w:val="002E3A1E"/>
    <w:rsid w:val="002F3808"/>
    <w:rsid w:val="003543FE"/>
    <w:rsid w:val="0035590C"/>
    <w:rsid w:val="00357C39"/>
    <w:rsid w:val="00372276"/>
    <w:rsid w:val="00377889"/>
    <w:rsid w:val="003977C6"/>
    <w:rsid w:val="003C39EB"/>
    <w:rsid w:val="003D2674"/>
    <w:rsid w:val="003E3B61"/>
    <w:rsid w:val="003F0720"/>
    <w:rsid w:val="00401103"/>
    <w:rsid w:val="00414F79"/>
    <w:rsid w:val="004763B8"/>
    <w:rsid w:val="00476D4C"/>
    <w:rsid w:val="004A1B84"/>
    <w:rsid w:val="004A5761"/>
    <w:rsid w:val="004B7F72"/>
    <w:rsid w:val="004C7411"/>
    <w:rsid w:val="004E2905"/>
    <w:rsid w:val="004F3B6B"/>
    <w:rsid w:val="00515B44"/>
    <w:rsid w:val="00521D62"/>
    <w:rsid w:val="0052633B"/>
    <w:rsid w:val="005378BF"/>
    <w:rsid w:val="00552283"/>
    <w:rsid w:val="005577C2"/>
    <w:rsid w:val="005946E0"/>
    <w:rsid w:val="005B601B"/>
    <w:rsid w:val="005C5CE4"/>
    <w:rsid w:val="00600085"/>
    <w:rsid w:val="00673DDD"/>
    <w:rsid w:val="006C2B4D"/>
    <w:rsid w:val="006D742F"/>
    <w:rsid w:val="006F5885"/>
    <w:rsid w:val="00702EA4"/>
    <w:rsid w:val="007155C5"/>
    <w:rsid w:val="00730485"/>
    <w:rsid w:val="00732E93"/>
    <w:rsid w:val="00736CF1"/>
    <w:rsid w:val="0075030B"/>
    <w:rsid w:val="007534E8"/>
    <w:rsid w:val="007618DC"/>
    <w:rsid w:val="0078447F"/>
    <w:rsid w:val="007A032E"/>
    <w:rsid w:val="007D37B3"/>
    <w:rsid w:val="008527C3"/>
    <w:rsid w:val="00870BE1"/>
    <w:rsid w:val="00875FE6"/>
    <w:rsid w:val="008B5C14"/>
    <w:rsid w:val="008B60D5"/>
    <w:rsid w:val="008E5744"/>
    <w:rsid w:val="00930B49"/>
    <w:rsid w:val="009452DF"/>
    <w:rsid w:val="009461FD"/>
    <w:rsid w:val="00957F07"/>
    <w:rsid w:val="009649A7"/>
    <w:rsid w:val="00975345"/>
    <w:rsid w:val="00993E5D"/>
    <w:rsid w:val="00995FA7"/>
    <w:rsid w:val="009B5C0C"/>
    <w:rsid w:val="009B67D9"/>
    <w:rsid w:val="009D3A1C"/>
    <w:rsid w:val="009D3F0D"/>
    <w:rsid w:val="009E3FDB"/>
    <w:rsid w:val="00A072B2"/>
    <w:rsid w:val="00A16867"/>
    <w:rsid w:val="00A26C18"/>
    <w:rsid w:val="00A656AB"/>
    <w:rsid w:val="00A75FDB"/>
    <w:rsid w:val="00AA7BD6"/>
    <w:rsid w:val="00AD6B5F"/>
    <w:rsid w:val="00AF1FC6"/>
    <w:rsid w:val="00B13920"/>
    <w:rsid w:val="00B80F5C"/>
    <w:rsid w:val="00B84C72"/>
    <w:rsid w:val="00BA3550"/>
    <w:rsid w:val="00BD006F"/>
    <w:rsid w:val="00C17F4B"/>
    <w:rsid w:val="00C41ABF"/>
    <w:rsid w:val="00C41E6F"/>
    <w:rsid w:val="00C45E6D"/>
    <w:rsid w:val="00C60FA9"/>
    <w:rsid w:val="00C75CBE"/>
    <w:rsid w:val="00C9195D"/>
    <w:rsid w:val="00C93465"/>
    <w:rsid w:val="00C966E1"/>
    <w:rsid w:val="00CC43CB"/>
    <w:rsid w:val="00CD7692"/>
    <w:rsid w:val="00CE58BC"/>
    <w:rsid w:val="00D1301E"/>
    <w:rsid w:val="00D15B81"/>
    <w:rsid w:val="00D20194"/>
    <w:rsid w:val="00D533F7"/>
    <w:rsid w:val="00D64955"/>
    <w:rsid w:val="00D8046C"/>
    <w:rsid w:val="00D95878"/>
    <w:rsid w:val="00DD0762"/>
    <w:rsid w:val="00DD4923"/>
    <w:rsid w:val="00DE5196"/>
    <w:rsid w:val="00DF3A83"/>
    <w:rsid w:val="00E01B62"/>
    <w:rsid w:val="00E03006"/>
    <w:rsid w:val="00E36388"/>
    <w:rsid w:val="00E4100D"/>
    <w:rsid w:val="00E46292"/>
    <w:rsid w:val="00E750DB"/>
    <w:rsid w:val="00E92249"/>
    <w:rsid w:val="00E93CA7"/>
    <w:rsid w:val="00EA7353"/>
    <w:rsid w:val="00ED0E50"/>
    <w:rsid w:val="00EE52AD"/>
    <w:rsid w:val="00F11657"/>
    <w:rsid w:val="00F34CA2"/>
    <w:rsid w:val="00F52514"/>
    <w:rsid w:val="00F54B5D"/>
    <w:rsid w:val="00F909F6"/>
    <w:rsid w:val="00F9311D"/>
    <w:rsid w:val="00F94798"/>
    <w:rsid w:val="00FB213A"/>
    <w:rsid w:val="00FC29D4"/>
    <w:rsid w:val="00FE6384"/>
    <w:rsid w:val="00FE64D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9F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92249"/>
    <w:pPr>
      <w:keepNext/>
      <w:keepLines/>
      <w:spacing w:before="40"/>
      <w:outlineLvl w:val="1"/>
    </w:pPr>
    <w:rPr>
      <w:rFonts w:eastAsiaTheme="majorEastAsia" w:cstheme="majorBidi"/>
      <w:b/>
      <w:bCs/>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2249"/>
    <w:rPr>
      <w:rFonts w:eastAsiaTheme="majorEastAsia" w:cstheme="majorBidi"/>
      <w:b/>
      <w:bCs/>
      <w:color w:val="2E74B5" w:themeColor="accent1" w:themeShade="BF"/>
      <w:sz w:val="26"/>
      <w:szCs w:val="26"/>
    </w:rPr>
  </w:style>
  <w:style w:type="paragraph" w:styleId="Caption">
    <w:name w:val="caption"/>
    <w:basedOn w:val="Normal"/>
    <w:next w:val="Normal"/>
    <w:uiPriority w:val="35"/>
    <w:unhideWhenUsed/>
    <w:qFormat/>
    <w:rsid w:val="00E750DB"/>
    <w:pPr>
      <w:spacing w:after="200"/>
    </w:pPr>
    <w:rPr>
      <w:i/>
      <w:iCs/>
      <w:color w:val="44546A" w:themeColor="text2"/>
      <w:sz w:val="18"/>
      <w:szCs w:val="18"/>
    </w:rPr>
  </w:style>
  <w:style w:type="paragraph" w:styleId="Header">
    <w:name w:val="header"/>
    <w:basedOn w:val="Normal"/>
    <w:link w:val="HeaderChar"/>
    <w:uiPriority w:val="99"/>
    <w:unhideWhenUsed/>
    <w:rsid w:val="00E750DB"/>
    <w:pPr>
      <w:tabs>
        <w:tab w:val="center" w:pos="4680"/>
        <w:tab w:val="right" w:pos="9360"/>
      </w:tabs>
    </w:pPr>
  </w:style>
  <w:style w:type="character" w:customStyle="1" w:styleId="HeaderChar">
    <w:name w:val="Header Char"/>
    <w:basedOn w:val="DefaultParagraphFont"/>
    <w:link w:val="Header"/>
    <w:uiPriority w:val="99"/>
    <w:rsid w:val="00E750DB"/>
  </w:style>
  <w:style w:type="paragraph" w:styleId="Footer">
    <w:name w:val="footer"/>
    <w:basedOn w:val="Normal"/>
    <w:link w:val="FooterChar"/>
    <w:uiPriority w:val="99"/>
    <w:unhideWhenUsed/>
    <w:rsid w:val="00E750DB"/>
    <w:pPr>
      <w:tabs>
        <w:tab w:val="center" w:pos="4680"/>
        <w:tab w:val="right" w:pos="9360"/>
      </w:tabs>
    </w:pPr>
  </w:style>
  <w:style w:type="character" w:customStyle="1" w:styleId="FooterChar">
    <w:name w:val="Footer Char"/>
    <w:basedOn w:val="DefaultParagraphFont"/>
    <w:link w:val="Footer"/>
    <w:uiPriority w:val="99"/>
    <w:rsid w:val="00E750DB"/>
  </w:style>
  <w:style w:type="table" w:styleId="TableGrid">
    <w:name w:val="Table Grid"/>
    <w:basedOn w:val="TableNormal"/>
    <w:uiPriority w:val="39"/>
    <w:rsid w:val="00E75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A032E"/>
    <w:rPr>
      <w:color w:val="0563C1" w:themeColor="hyperlink"/>
      <w:u w:val="single"/>
    </w:rPr>
  </w:style>
  <w:style w:type="character" w:styleId="FollowedHyperlink">
    <w:name w:val="FollowedHyperlink"/>
    <w:basedOn w:val="DefaultParagraphFont"/>
    <w:uiPriority w:val="99"/>
    <w:semiHidden/>
    <w:unhideWhenUsed/>
    <w:rsid w:val="007D37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62578">
      <w:bodyDiv w:val="1"/>
      <w:marLeft w:val="0"/>
      <w:marRight w:val="0"/>
      <w:marTop w:val="0"/>
      <w:marBottom w:val="0"/>
      <w:divBdr>
        <w:top w:val="none" w:sz="0" w:space="0" w:color="auto"/>
        <w:left w:val="none" w:sz="0" w:space="0" w:color="auto"/>
        <w:bottom w:val="none" w:sz="0" w:space="0" w:color="auto"/>
        <w:right w:val="none" w:sz="0" w:space="0" w:color="auto"/>
      </w:divBdr>
    </w:div>
    <w:div w:id="774135572">
      <w:bodyDiv w:val="1"/>
      <w:marLeft w:val="0"/>
      <w:marRight w:val="0"/>
      <w:marTop w:val="0"/>
      <w:marBottom w:val="0"/>
      <w:divBdr>
        <w:top w:val="none" w:sz="0" w:space="0" w:color="auto"/>
        <w:left w:val="none" w:sz="0" w:space="0" w:color="auto"/>
        <w:bottom w:val="none" w:sz="0" w:space="0" w:color="auto"/>
        <w:right w:val="none" w:sz="0" w:space="0" w:color="auto"/>
      </w:divBdr>
    </w:div>
    <w:div w:id="2030596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d42.ca/new-curriculum"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E140F5-F296-C942-9A59-8FF9A947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201</Words>
  <Characters>1150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School District 42 - Maple Ridge &amp; Pitt Meadows</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Pochop</dc:creator>
  <cp:keywords/>
  <dc:description/>
  <cp:lastModifiedBy>Anelma Brown</cp:lastModifiedBy>
  <cp:revision>5</cp:revision>
  <cp:lastPrinted>2017-09-15T20:10:00Z</cp:lastPrinted>
  <dcterms:created xsi:type="dcterms:W3CDTF">2017-09-25T20:58:00Z</dcterms:created>
  <dcterms:modified xsi:type="dcterms:W3CDTF">2017-09-28T21:24:00Z</dcterms:modified>
</cp:coreProperties>
</file>